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820"/>
        <w:gridCol w:w="3969"/>
        <w:gridCol w:w="2126"/>
        <w:gridCol w:w="2126"/>
      </w:tblGrid>
      <w:tr w:rsidR="00FA3D7B" w:rsidRPr="00FA3D7B" w:rsidTr="00113AC1">
        <w:trPr>
          <w:cantSplit/>
          <w:trHeight w:val="412"/>
          <w:tblHeader/>
        </w:trPr>
        <w:tc>
          <w:tcPr>
            <w:tcW w:w="191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 w:rsidP="00F9075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bookmarkStart w:id="0" w:name="_GoBack"/>
            <w:bookmarkEnd w:id="0"/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Lufttäthets</w:t>
            </w:r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softHyphen/>
              <w:t>detalj: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>
            <w:pPr>
              <w:pStyle w:val="Rubrik2"/>
              <w:jc w:val="left"/>
              <w:rPr>
                <w:color w:val="FFFFFF" w:themeColor="background1"/>
                <w:sz w:val="22"/>
              </w:rPr>
            </w:pPr>
            <w:r w:rsidRPr="00FA3D7B">
              <w:rPr>
                <w:color w:val="FFFFFF" w:themeColor="background1"/>
              </w:rPr>
              <w:t>Att beakta:</w:t>
            </w:r>
            <w:r w:rsidRPr="00FA3D7B">
              <w:rPr>
                <w:color w:val="FFFFFF" w:themeColor="background1"/>
              </w:rPr>
              <w:br/>
            </w:r>
          </w:p>
          <w:p w:rsidR="00FA3D7B" w:rsidRPr="00FA3D7B" w:rsidRDefault="00FA3D7B" w:rsidP="00F9075B">
            <w:pPr>
              <w:pStyle w:val="Rubrik2"/>
              <w:jc w:val="left"/>
              <w:rPr>
                <w:b w:val="0"/>
                <w:color w:val="FFFFFF" w:themeColor="background1"/>
                <w:sz w:val="16"/>
                <w:szCs w:val="16"/>
              </w:rPr>
            </w:pPr>
            <w:r w:rsidRPr="00FA3D7B">
              <w:rPr>
                <w:b w:val="0"/>
                <w:color w:val="FFFFFF" w:themeColor="background1"/>
                <w:sz w:val="16"/>
                <w:szCs w:val="16"/>
              </w:rPr>
              <w:t>Exempel på kritiska punkter, viktiga moment m m.</w:t>
            </w:r>
          </w:p>
          <w:p w:rsidR="00FA3D7B" w:rsidRPr="00FA3D7B" w:rsidRDefault="00FA3D7B" w:rsidP="003D78E8">
            <w:pPr>
              <w:rPr>
                <w:rFonts w:ascii="Arial" w:hAnsi="Arial" w:cs="Arial"/>
                <w:color w:val="FFFFFF" w:themeColor="background1"/>
              </w:rPr>
            </w:pPr>
            <w:r w:rsidRPr="00FA3D7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Ikryssad ruta innebär att punkten är beaktad.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4F81BD" w:themeFill="accent1"/>
          </w:tcPr>
          <w:p w:rsidR="00FA3D7B" w:rsidRPr="00FA3D7B" w:rsidRDefault="00FA3D7B" w:rsidP="00A372C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Resultat</w:t>
            </w:r>
          </w:p>
        </w:tc>
      </w:tr>
      <w:tr w:rsidR="00FA3D7B" w:rsidRPr="00FA3D7B" w:rsidTr="00113AC1">
        <w:trPr>
          <w:cantSplit/>
          <w:trHeight w:val="868"/>
          <w:tblHeader/>
        </w:trPr>
        <w:tc>
          <w:tcPr>
            <w:tcW w:w="1913" w:type="dxa"/>
            <w:vMerge/>
            <w:tcBorders>
              <w:top w:val="nil"/>
              <w:left w:val="single" w:sz="4" w:space="0" w:color="FFFFFF"/>
              <w:bottom w:val="single" w:sz="4" w:space="0" w:color="A6A6A6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>
            <w:pPr>
              <w:pStyle w:val="Rubrik2"/>
              <w:jc w:val="left"/>
              <w:rPr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4F81BD" w:themeFill="accent1"/>
          </w:tcPr>
          <w:p w:rsidR="00FA3D7B" w:rsidRPr="00FA3D7B" w:rsidRDefault="00FA3D7B" w:rsidP="00A14AF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Redovisning:</w:t>
            </w:r>
          </w:p>
          <w:p w:rsidR="00FA3D7B" w:rsidRPr="00FA3D7B" w:rsidRDefault="00FA3D7B" w:rsidP="00A14AF2">
            <w:pPr>
              <w:rPr>
                <w:rFonts w:ascii="Arial" w:hAnsi="Arial" w:cs="Arial"/>
                <w:bCs/>
                <w:color w:val="FFFFFF" w:themeColor="background1"/>
                <w:sz w:val="16"/>
              </w:rPr>
            </w:pP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</w:rPr>
              <w:t>Kommentar till vald lösning.</w:t>
            </w:r>
          </w:p>
          <w:p w:rsidR="00FA3D7B" w:rsidRPr="00FA3D7B" w:rsidRDefault="00FA3D7B" w:rsidP="00A14AF2">
            <w:pPr>
              <w:rPr>
                <w:rFonts w:ascii="Arial" w:hAnsi="Arial" w:cs="Arial"/>
                <w:bCs/>
                <w:color w:val="FFFFFF" w:themeColor="background1"/>
                <w:sz w:val="16"/>
              </w:rPr>
            </w:pP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</w:rPr>
              <w:t xml:space="preserve">Hänvisning till </w:t>
            </w: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dokument</w:t>
            </w: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</w:rPr>
              <w:t xml:space="preserve"> där resultat, bedömning m m redovisas.</w:t>
            </w:r>
          </w:p>
        </w:tc>
        <w:tc>
          <w:tcPr>
            <w:tcW w:w="4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/>
              <w:right w:val="nil"/>
            </w:tcBorders>
            <w:shd w:val="clear" w:color="auto" w:fill="4F81BD" w:themeFill="accent1"/>
          </w:tcPr>
          <w:p w:rsidR="00FA3D7B" w:rsidRPr="00FA3D7B" w:rsidRDefault="00FA3D7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FA3D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Krävs uppföljning?</w:t>
            </w:r>
          </w:p>
          <w:p w:rsidR="00FA3D7B" w:rsidRPr="00FA3D7B" w:rsidRDefault="00FA3D7B" w:rsidP="00567A9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A3D7B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Om uppföljning krävs ange vad som ska följas upp samt när detta ska ske.</w:t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 av lufttätande material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0D0FD6" w:rsidP="00535944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FA3D7B" w:rsidRPr="00E87879">
              <w:rPr>
                <w:rFonts w:ascii="Arial" w:hAnsi="Arial" w:cs="Arial"/>
                <w:sz w:val="18"/>
                <w:szCs w:val="18"/>
              </w:rPr>
              <w:tab/>
            </w:r>
            <w:r w:rsidR="00FA3D7B">
              <w:rPr>
                <w:rFonts w:ascii="Arial" w:hAnsi="Arial" w:cs="Arial"/>
                <w:sz w:val="18"/>
                <w:szCs w:val="18"/>
              </w:rPr>
              <w:t>Det lufttätande materialets lufttäthet ska bidra till att lufttäthetskravet har möjlighet att uppfyllas</w:t>
            </w:r>
            <w:r w:rsidR="00113A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1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Beständiga lösningar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873D23" w:rsidRDefault="00FA3D7B" w:rsidP="00535944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873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D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D23">
              <w:rPr>
                <w:rFonts w:ascii="Arial" w:hAnsi="Arial" w:cs="Arial"/>
                <w:sz w:val="18"/>
                <w:szCs w:val="18"/>
              </w:rPr>
              <w:tab/>
            </w:r>
            <w:r w:rsidRPr="00535944">
              <w:rPr>
                <w:rFonts w:ascii="Arial" w:hAnsi="Arial" w:cs="Arial"/>
                <w:sz w:val="18"/>
                <w:szCs w:val="18"/>
              </w:rPr>
              <w:t>Välj genomgående luft</w:t>
            </w:r>
            <w:r>
              <w:rPr>
                <w:rFonts w:ascii="Arial" w:hAnsi="Arial" w:cs="Arial"/>
                <w:sz w:val="18"/>
                <w:szCs w:val="18"/>
              </w:rPr>
              <w:t>tätande lösningar som är bestän</w:t>
            </w:r>
            <w:r w:rsidRPr="00535944">
              <w:rPr>
                <w:rFonts w:ascii="Arial" w:hAnsi="Arial" w:cs="Arial"/>
                <w:sz w:val="18"/>
                <w:szCs w:val="18"/>
              </w:rPr>
              <w:t xml:space="preserve">diga under byggnadens livslängd genom val av lösningar, material och materialkombinationer. Vid användning av tejp, tätningsmassor e </w:t>
            </w:r>
            <w:proofErr w:type="spellStart"/>
            <w:r w:rsidRPr="00535944">
              <w:rPr>
                <w:rFonts w:ascii="Arial" w:hAnsi="Arial" w:cs="Arial"/>
                <w:sz w:val="18"/>
                <w:szCs w:val="18"/>
              </w:rPr>
              <w:t>dyl</w:t>
            </w:r>
            <w:proofErr w:type="spellEnd"/>
            <w:r w:rsidRPr="005359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F5B">
              <w:rPr>
                <w:rFonts w:ascii="Arial" w:hAnsi="Arial" w:cs="Arial"/>
                <w:sz w:val="18"/>
                <w:szCs w:val="18"/>
              </w:rPr>
              <w:t>ska</w:t>
            </w:r>
            <w:r w:rsidRPr="00535944">
              <w:rPr>
                <w:rFonts w:ascii="Arial" w:hAnsi="Arial" w:cs="Arial"/>
                <w:sz w:val="18"/>
                <w:szCs w:val="18"/>
              </w:rPr>
              <w:t xml:space="preserve"> det visas att materialen är dokumen</w:t>
            </w:r>
            <w:r>
              <w:rPr>
                <w:rFonts w:ascii="Arial" w:hAnsi="Arial" w:cs="Arial"/>
                <w:sz w:val="18"/>
                <w:szCs w:val="18"/>
              </w:rPr>
              <w:t>terat beständiga vid applice</w:t>
            </w:r>
            <w:r w:rsidRPr="00535944">
              <w:rPr>
                <w:rFonts w:ascii="Arial" w:hAnsi="Arial" w:cs="Arial"/>
                <w:sz w:val="18"/>
                <w:szCs w:val="18"/>
              </w:rPr>
              <w:t>ring mot de material som de monteras mot. Det är även viktigt att vidhäftningen är god vid de betingelser som råder (exempelvis temperatur).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2107C6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2107C6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2107C6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2107C6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2107C6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1122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873D23" w:rsidRDefault="00FA3D7B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2107C6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2107C6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2107C6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2107C6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Skarvar i lufttätande skiktet/materialet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Default="00FA3D7B" w:rsidP="00535944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873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D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D23">
              <w:rPr>
                <w:rFonts w:ascii="Arial" w:hAnsi="Arial" w:cs="Arial"/>
                <w:sz w:val="18"/>
                <w:szCs w:val="18"/>
              </w:rPr>
              <w:tab/>
            </w:r>
            <w:r w:rsidRPr="00535944">
              <w:rPr>
                <w:rFonts w:ascii="Arial" w:hAnsi="Arial" w:cs="Arial"/>
                <w:sz w:val="18"/>
                <w:szCs w:val="18"/>
              </w:rPr>
              <w:t>Planera för så få skarvar som möjligt</w:t>
            </w:r>
          </w:p>
          <w:p w:rsidR="00FA3D7B" w:rsidRPr="00873D23" w:rsidRDefault="00FA3D7B" w:rsidP="00535944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873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D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D23">
              <w:rPr>
                <w:rFonts w:ascii="Arial" w:hAnsi="Arial" w:cs="Arial"/>
                <w:sz w:val="18"/>
                <w:szCs w:val="18"/>
              </w:rPr>
              <w:tab/>
            </w:r>
            <w:r w:rsidRPr="00535944">
              <w:rPr>
                <w:rFonts w:ascii="Arial" w:hAnsi="Arial" w:cs="Arial"/>
                <w:sz w:val="18"/>
                <w:szCs w:val="18"/>
              </w:rPr>
              <w:t>Val av skarvutförande, bl a med ledning från tillverkarens anvisningar för det lufttätande materialet</w:t>
            </w:r>
          </w:p>
          <w:p w:rsidR="00FA3D7B" w:rsidRPr="00873D23" w:rsidRDefault="00FA3D7B" w:rsidP="00C260EF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873D23" w:rsidRDefault="00FA3D7B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53594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5944">
              <w:rPr>
                <w:rFonts w:ascii="Arial" w:hAnsi="Arial" w:cs="Arial"/>
                <w:sz w:val="18"/>
                <w:szCs w:val="18"/>
              </w:rPr>
              <w:t>Anslutningar vid fönster, dörrar och vindsluckor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Default="00FA3D7B" w:rsidP="00535944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873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D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D2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Val av anslutningsutförande mellan karm och väggkonstruktion. Några vanliga anslutningsutföranden är</w:t>
            </w:r>
          </w:p>
          <w:p w:rsidR="00FA3D7B" w:rsidRDefault="00DE2279" w:rsidP="00535944">
            <w:pPr>
              <w:pStyle w:val="Liststycke"/>
              <w:keepNext/>
              <w:numPr>
                <w:ilvl w:val="0"/>
                <w:numId w:val="5"/>
              </w:num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Bottningslist och f</w:t>
            </w:r>
            <w:r w:rsidR="00FA3D7B">
              <w:rPr>
                <w:rFonts w:ascii="Arial" w:hAnsi="Arial" w:cs="Arial"/>
                <w:sz w:val="18"/>
                <w:szCs w:val="18"/>
              </w:rPr>
              <w:t>ogmassa</w:t>
            </w:r>
          </w:p>
          <w:p w:rsidR="00FA3D7B" w:rsidRDefault="00DE2279" w:rsidP="00535944">
            <w:pPr>
              <w:pStyle w:val="Liststycke"/>
              <w:keepNext/>
              <w:numPr>
                <w:ilvl w:val="0"/>
                <w:numId w:val="5"/>
              </w:num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Tejp</w:t>
            </w:r>
          </w:p>
          <w:p w:rsidR="00FA3D7B" w:rsidRPr="00535944" w:rsidRDefault="00FA3D7B" w:rsidP="00535944">
            <w:pPr>
              <w:pStyle w:val="Liststycke"/>
              <w:keepNext/>
              <w:numPr>
                <w:ilvl w:val="0"/>
                <w:numId w:val="5"/>
              </w:num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Svällband</w:t>
            </w:r>
          </w:p>
          <w:p w:rsidR="00FA3D7B" w:rsidRDefault="00FA3D7B" w:rsidP="00535944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873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D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D2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Vid lätta konstruktioner: Val av detaljutförande för lufttäthet i smygen.</w:t>
            </w:r>
          </w:p>
          <w:p w:rsidR="00E94B18" w:rsidRPr="00873D23" w:rsidRDefault="00E94B18" w:rsidP="00535944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1102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873D23" w:rsidRDefault="00FA3D7B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38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E76C19">
            <w:pPr>
              <w:keepNext/>
              <w:keepLines/>
              <w:pageBreakBefore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Anslutning av mellanbjälklag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Default="00FA3D7B" w:rsidP="00E76C19">
            <w:pPr>
              <w:keepNext/>
              <w:keepLines/>
              <w:pageBreakBefore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601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10F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76C19">
              <w:rPr>
                <w:rFonts w:ascii="Arial" w:hAnsi="Arial" w:cs="Arial"/>
                <w:sz w:val="18"/>
                <w:szCs w:val="18"/>
              </w:rPr>
              <w:t>Anslutning av mellanbjälklag mot yttervägg konstrueras så att den kan göras lufttätt.</w:t>
            </w:r>
          </w:p>
          <w:p w:rsidR="00FA3D7B" w:rsidRPr="00E87879" w:rsidRDefault="00FA3D7B" w:rsidP="00E76C19">
            <w:pPr>
              <w:keepNext/>
              <w:keepLines/>
              <w:pageBreakBefore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76C19">
              <w:rPr>
                <w:rFonts w:ascii="Arial" w:hAnsi="Arial" w:cs="Arial"/>
                <w:sz w:val="18"/>
                <w:szCs w:val="18"/>
              </w:rPr>
              <w:t>Vid lätta konstruktioner: En princip är att dra det lufttätande skiktet hel förbi bjälklagsanslutningen.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E76C19">
            <w:pPr>
              <w:keepNext/>
              <w:keepLines/>
              <w:pageBreakBefore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E76C19">
            <w:pPr>
              <w:keepNext/>
              <w:keepLines/>
              <w:pageBreakBefore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E76C19">
            <w:pPr>
              <w:keepNext/>
              <w:keepLines/>
              <w:pageBreakBefore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E87879" w:rsidRDefault="00FA3D7B" w:rsidP="00E76C19">
            <w:pPr>
              <w:keepNext/>
              <w:keepLines/>
              <w:pageBreakBefore/>
              <w:rPr>
                <w:rFonts w:ascii="Arial" w:hAnsi="Arial" w:cs="Arial"/>
                <w:sz w:val="14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E76C19">
            <w:pPr>
              <w:keepNext/>
              <w:keepLines/>
              <w:pageBreakBefore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E76C19">
            <w:pPr>
              <w:keepNext/>
              <w:keepLines/>
              <w:pageBreakBefore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576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Default="00FA3D7B" w:rsidP="00E76C1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6010F3" w:rsidRDefault="00FA3D7B" w:rsidP="00E76C19">
            <w:pPr>
              <w:keepNext/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E76C19">
            <w:pPr>
              <w:keepNext/>
              <w:keepLines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E76C19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E76C19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E76C19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E76C19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E76C19">
              <w:rPr>
                <w:rFonts w:ascii="Arial" w:hAnsi="Arial" w:cs="Arial"/>
                <w:sz w:val="18"/>
                <w:szCs w:val="18"/>
              </w:rPr>
              <w:t>Anslutning mellan byggnadsdelar i klimatskalet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76C19" w:rsidRDefault="00FA3D7B" w:rsidP="00E76C19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E76C19">
              <w:rPr>
                <w:rFonts w:ascii="Arial" w:hAnsi="Arial" w:cs="Arial"/>
                <w:sz w:val="18"/>
                <w:szCs w:val="18"/>
              </w:rPr>
              <w:t>Vid lätta konstruktioner: Anslutningen mellan tätskikt i två anslutand</w:t>
            </w:r>
            <w:r>
              <w:rPr>
                <w:rFonts w:ascii="Arial" w:hAnsi="Arial" w:cs="Arial"/>
                <w:sz w:val="18"/>
                <w:szCs w:val="18"/>
              </w:rPr>
              <w:t>e byggnadsdelar kan utföras med</w:t>
            </w:r>
          </w:p>
          <w:p w:rsidR="00FA3D7B" w:rsidRPr="00E76C19" w:rsidRDefault="00FA3D7B" w:rsidP="00E76C19">
            <w:pPr>
              <w:pStyle w:val="Liststycke"/>
              <w:numPr>
                <w:ilvl w:val="0"/>
                <w:numId w:val="6"/>
              </w:num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 w:rsidRPr="00E76C19">
              <w:rPr>
                <w:rFonts w:ascii="Arial" w:hAnsi="Arial" w:cs="Arial"/>
                <w:sz w:val="18"/>
                <w:szCs w:val="18"/>
              </w:rPr>
              <w:t xml:space="preserve">omlottläggning och klämning </w:t>
            </w:r>
          </w:p>
          <w:p w:rsidR="00FA3D7B" w:rsidRPr="00E76C19" w:rsidRDefault="00FA3D7B" w:rsidP="00E76C19">
            <w:pPr>
              <w:pStyle w:val="Liststycke"/>
              <w:keepNext/>
              <w:numPr>
                <w:ilvl w:val="0"/>
                <w:numId w:val="6"/>
              </w:num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 w:rsidRPr="00E76C19">
              <w:rPr>
                <w:rFonts w:ascii="Arial" w:hAnsi="Arial" w:cs="Arial"/>
                <w:sz w:val="18"/>
                <w:szCs w:val="18"/>
              </w:rPr>
              <w:t>skarvning med exempelvis tejp eller dubbelhäftande band där beständigheten är säkerställd vid användning tillsammans med det lufttätande skiktet.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0D27DB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0D27DB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0D27DB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0D27DB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0D27DB">
            <w:pPr>
              <w:keepNext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E76C19">
              <w:rPr>
                <w:rFonts w:ascii="Arial" w:hAnsi="Arial" w:cs="Arial"/>
                <w:sz w:val="18"/>
                <w:szCs w:val="18"/>
              </w:rPr>
              <w:t xml:space="preserve">Anslutningar mellan </w:t>
            </w:r>
            <w:r>
              <w:rPr>
                <w:rFonts w:ascii="Arial" w:hAnsi="Arial" w:cs="Arial"/>
                <w:sz w:val="18"/>
                <w:szCs w:val="18"/>
              </w:rPr>
              <w:t>lätta konstruktioner och betong</w:t>
            </w:r>
            <w:r w:rsidR="00086800">
              <w:rPr>
                <w:rFonts w:ascii="Arial" w:hAnsi="Arial" w:cs="Arial"/>
                <w:sz w:val="18"/>
                <w:szCs w:val="18"/>
              </w:rPr>
              <w:t>-</w:t>
            </w:r>
            <w:r w:rsidRPr="00E76C19">
              <w:rPr>
                <w:rFonts w:ascii="Arial" w:hAnsi="Arial" w:cs="Arial"/>
                <w:sz w:val="18"/>
                <w:szCs w:val="18"/>
              </w:rPr>
              <w:t>konstruktioner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Default="00FA3D7B" w:rsidP="00BB0441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E76C19">
              <w:rPr>
                <w:rFonts w:ascii="Arial" w:hAnsi="Arial" w:cs="Arial"/>
                <w:sz w:val="18"/>
                <w:szCs w:val="18"/>
              </w:rPr>
              <w:t>Val av tätningsmaterial/tätremsa mellan regel/syll/ hammarband och betong. Tätningsmaterial som kan ta upp ojämnheter i betongytan ger en tätare lösning. Observera att lösningen i ytter- och innerhörn måste beaktas så att inte läckage uppstår i vinkeln</w:t>
            </w:r>
          </w:p>
          <w:p w:rsidR="00FA3D7B" w:rsidRPr="00E87879" w:rsidRDefault="00FA3D7B" w:rsidP="00BB0441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76C19">
              <w:rPr>
                <w:rFonts w:ascii="Arial" w:hAnsi="Arial" w:cs="Arial"/>
                <w:sz w:val="18"/>
                <w:szCs w:val="18"/>
              </w:rPr>
              <w:t>Infästningen av syll/hammarband har betydelse på så sätt att ju hårdare regeln monteras mot betongen desto tätare blir lösningen</w:t>
            </w:r>
          </w:p>
          <w:p w:rsidR="00FA3D7B" w:rsidRPr="00E87879" w:rsidRDefault="00FA3D7B" w:rsidP="00E76C19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BB0396">
              <w:rPr>
                <w:rFonts w:ascii="Arial" w:hAnsi="Arial" w:cs="Arial"/>
                <w:sz w:val="18"/>
                <w:szCs w:val="18"/>
              </w:rPr>
              <w:t>Val av anslutning mellan tätskikt och regel/syll/ hammarband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1302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FA3D7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BB0396">
              <w:rPr>
                <w:rFonts w:ascii="Arial" w:hAnsi="Arial" w:cs="Arial"/>
                <w:sz w:val="18"/>
                <w:szCs w:val="18"/>
              </w:rPr>
              <w:t>Lufttäthet i invändiga byggnadsdelar, t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B0396">
              <w:rPr>
                <w:rFonts w:ascii="Arial" w:hAnsi="Arial" w:cs="Arial"/>
                <w:sz w:val="18"/>
                <w:szCs w:val="18"/>
              </w:rPr>
              <w:t>ex mellan brandceller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BB0396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BB0396">
              <w:rPr>
                <w:rFonts w:ascii="Arial" w:hAnsi="Arial" w:cs="Arial"/>
                <w:sz w:val="18"/>
                <w:szCs w:val="18"/>
              </w:rPr>
              <w:t>Lufttätheten hos de invändiga konstruktionsdelarna planeras där så är nödv</w:t>
            </w:r>
            <w:r>
              <w:rPr>
                <w:rFonts w:ascii="Arial" w:hAnsi="Arial" w:cs="Arial"/>
                <w:sz w:val="18"/>
                <w:szCs w:val="18"/>
              </w:rPr>
              <w:t>ändigt och/eller krävts av bygg</w:t>
            </w:r>
            <w:r w:rsidRPr="00BB0396">
              <w:rPr>
                <w:rFonts w:ascii="Arial" w:hAnsi="Arial" w:cs="Arial"/>
                <w:sz w:val="18"/>
                <w:szCs w:val="18"/>
              </w:rPr>
              <w:t>herren, t ex mellan olika lägenheter/brandceller. Lufttäthet hos mellanbjälklag</w:t>
            </w:r>
            <w:r>
              <w:rPr>
                <w:rFonts w:ascii="Arial" w:hAnsi="Arial" w:cs="Arial"/>
                <w:sz w:val="18"/>
                <w:szCs w:val="18"/>
              </w:rPr>
              <w:t>, mellanväggar, schakt, innerdör</w:t>
            </w:r>
            <w:r w:rsidRPr="00BB0396">
              <w:rPr>
                <w:rFonts w:ascii="Arial" w:hAnsi="Arial" w:cs="Arial"/>
                <w:sz w:val="18"/>
                <w:szCs w:val="18"/>
              </w:rPr>
              <w:t xml:space="preserve">rar m </w:t>
            </w:r>
            <w:proofErr w:type="spellStart"/>
            <w:r w:rsidRPr="00BB0396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BB0396">
              <w:rPr>
                <w:rFonts w:ascii="Arial" w:hAnsi="Arial" w:cs="Arial"/>
                <w:sz w:val="18"/>
                <w:szCs w:val="18"/>
              </w:rPr>
              <w:t xml:space="preserve"> beaktas.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8017F">
              <w:rPr>
                <w:rFonts w:ascii="Arial" w:hAnsi="Arial" w:cs="Arial"/>
                <w:sz w:val="18"/>
                <w:szCs w:val="18"/>
              </w:rPr>
              <w:lastRenderedPageBreak/>
              <w:t>Sällan förekommande konstruktionsdelar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8017F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78017F">
              <w:rPr>
                <w:rFonts w:ascii="Arial" w:hAnsi="Arial" w:cs="Arial"/>
                <w:sz w:val="18"/>
                <w:szCs w:val="18"/>
              </w:rPr>
              <w:t>Finns alla konstrukt</w:t>
            </w:r>
            <w:r>
              <w:rPr>
                <w:rFonts w:ascii="Arial" w:hAnsi="Arial" w:cs="Arial"/>
                <w:sz w:val="18"/>
                <w:szCs w:val="18"/>
              </w:rPr>
              <w:t>ioner där skarvar förekommer re</w:t>
            </w:r>
            <w:r w:rsidRPr="0078017F">
              <w:rPr>
                <w:rFonts w:ascii="Arial" w:hAnsi="Arial" w:cs="Arial"/>
                <w:sz w:val="18"/>
                <w:szCs w:val="18"/>
              </w:rPr>
              <w:t>dovisade? Även de sällan förekommande är viktiga t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8017F">
              <w:rPr>
                <w:rFonts w:ascii="Arial" w:hAnsi="Arial" w:cs="Arial"/>
                <w:sz w:val="18"/>
                <w:szCs w:val="18"/>
              </w:rPr>
              <w:t>ex burspråk, terrasser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Genomföringar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8017F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78017F">
              <w:rPr>
                <w:rFonts w:ascii="Arial" w:hAnsi="Arial" w:cs="Arial"/>
                <w:sz w:val="18"/>
                <w:szCs w:val="18"/>
              </w:rPr>
              <w:t>Täthetsutförande vid genomföringar, t ex vid eldragningar, ventilationskanaler planeras.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8017F">
              <w:rPr>
                <w:rFonts w:ascii="Arial" w:hAnsi="Arial" w:cs="Arial"/>
                <w:sz w:val="18"/>
                <w:szCs w:val="18"/>
              </w:rPr>
              <w:t xml:space="preserve">Vid lätta </w:t>
            </w:r>
            <w:r>
              <w:rPr>
                <w:rFonts w:ascii="Arial" w:hAnsi="Arial" w:cs="Arial"/>
                <w:sz w:val="18"/>
                <w:szCs w:val="18"/>
              </w:rPr>
              <w:t>konstruktioner: läckaget minime</w:t>
            </w:r>
            <w:r w:rsidRPr="0078017F">
              <w:rPr>
                <w:rFonts w:ascii="Arial" w:hAnsi="Arial" w:cs="Arial"/>
                <w:sz w:val="18"/>
                <w:szCs w:val="18"/>
              </w:rPr>
              <w:t>ras/undviks om det lufttätande skiktet placeras indraget i väggen. I annat fall planeras elinstallationer så att antalet håltag</w:t>
            </w:r>
            <w:r>
              <w:rPr>
                <w:rFonts w:ascii="Arial" w:hAnsi="Arial" w:cs="Arial"/>
                <w:sz w:val="18"/>
                <w:szCs w:val="18"/>
              </w:rPr>
              <w:t>ningar minimeras.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8017F">
              <w:rPr>
                <w:rFonts w:ascii="Arial" w:hAnsi="Arial" w:cs="Arial"/>
                <w:sz w:val="18"/>
                <w:szCs w:val="18"/>
              </w:rPr>
              <w:t xml:space="preserve">Även antalet genomföringar </w:t>
            </w:r>
            <w:proofErr w:type="gramStart"/>
            <w:r w:rsidRPr="0078017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8017F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8017F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8017F">
              <w:rPr>
                <w:rFonts w:ascii="Arial" w:hAnsi="Arial" w:cs="Arial"/>
                <w:sz w:val="18"/>
                <w:szCs w:val="18"/>
              </w:rPr>
              <w:t xml:space="preserve"> ventilationskanaler och VVS-rör minimeras genom god planering</w:t>
            </w:r>
          </w:p>
          <w:p w:rsidR="00FA3D7B" w:rsidRPr="0078017F" w:rsidRDefault="00FA3D7B" w:rsidP="0078017F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78017F">
              <w:rPr>
                <w:rFonts w:ascii="Arial" w:hAnsi="Arial" w:cs="Arial"/>
                <w:sz w:val="18"/>
                <w:szCs w:val="18"/>
              </w:rPr>
              <w:t xml:space="preserve">Genomföringar som inte kan undvikas </w:t>
            </w:r>
            <w:r w:rsidR="004B0F5B">
              <w:rPr>
                <w:rFonts w:ascii="Arial" w:hAnsi="Arial" w:cs="Arial"/>
                <w:sz w:val="18"/>
                <w:szCs w:val="18"/>
              </w:rPr>
              <w:t>ska</w:t>
            </w:r>
            <w:r w:rsidRPr="0078017F">
              <w:rPr>
                <w:rFonts w:ascii="Arial" w:hAnsi="Arial" w:cs="Arial"/>
                <w:sz w:val="18"/>
                <w:szCs w:val="18"/>
              </w:rPr>
              <w:t xml:space="preserve"> utföras lufttäta. Vanliga lösningar är exempelvis </w:t>
            </w:r>
          </w:p>
          <w:p w:rsidR="00FA3D7B" w:rsidRPr="0078017F" w:rsidRDefault="00FA3D7B" w:rsidP="0078017F">
            <w:pPr>
              <w:pStyle w:val="Liststycke"/>
              <w:numPr>
                <w:ilvl w:val="0"/>
                <w:numId w:val="12"/>
              </w:num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 w:rsidRPr="0078017F">
              <w:rPr>
                <w:rFonts w:ascii="Arial" w:hAnsi="Arial" w:cs="Arial"/>
                <w:sz w:val="18"/>
                <w:szCs w:val="18"/>
              </w:rPr>
              <w:t>manschetter och kragar som kan köpas i detaljhandeln eller hos olika leverantörer för att kunna göra lufttäta genomföringar. Kontrollera mansc</w:t>
            </w:r>
            <w:r>
              <w:rPr>
                <w:rFonts w:ascii="Arial" w:hAnsi="Arial" w:cs="Arial"/>
                <w:sz w:val="18"/>
                <w:szCs w:val="18"/>
              </w:rPr>
              <w:t>hettens anslutning mot det luft</w:t>
            </w:r>
            <w:r w:rsidRPr="0078017F">
              <w:rPr>
                <w:rFonts w:ascii="Arial" w:hAnsi="Arial" w:cs="Arial"/>
                <w:sz w:val="18"/>
                <w:szCs w:val="18"/>
              </w:rPr>
              <w:t>tätande skiktet/materialet.</w:t>
            </w:r>
          </w:p>
          <w:p w:rsidR="00FA3D7B" w:rsidRPr="0078017F" w:rsidRDefault="00FA3D7B" w:rsidP="0078017F">
            <w:pPr>
              <w:pStyle w:val="Liststycke"/>
              <w:numPr>
                <w:ilvl w:val="0"/>
                <w:numId w:val="12"/>
              </w:num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 w:rsidRPr="0078017F">
              <w:rPr>
                <w:rFonts w:ascii="Arial" w:hAnsi="Arial" w:cs="Arial"/>
                <w:sz w:val="18"/>
                <w:szCs w:val="18"/>
              </w:rPr>
              <w:t>specialtillverkade kragar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1124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B756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Tillfällig håltagning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E8187D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78017F">
              <w:rPr>
                <w:rFonts w:ascii="Arial" w:hAnsi="Arial" w:cs="Arial"/>
                <w:sz w:val="18"/>
                <w:szCs w:val="18"/>
              </w:rPr>
              <w:t xml:space="preserve">Exempel: Om lösull </w:t>
            </w:r>
            <w:r w:rsidR="004B0F5B">
              <w:rPr>
                <w:rFonts w:ascii="Arial" w:hAnsi="Arial" w:cs="Arial"/>
                <w:sz w:val="18"/>
                <w:szCs w:val="18"/>
              </w:rPr>
              <w:t>ska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installeras i slutna konstru</w:t>
            </w:r>
            <w:r w:rsidRPr="0078017F">
              <w:rPr>
                <w:rFonts w:ascii="Arial" w:hAnsi="Arial" w:cs="Arial"/>
                <w:sz w:val="18"/>
                <w:szCs w:val="18"/>
              </w:rPr>
              <w:t xml:space="preserve">ktioner bör </w:t>
            </w:r>
            <w:r w:rsidR="00E8187D">
              <w:rPr>
                <w:rFonts w:ascii="Arial" w:hAnsi="Arial" w:cs="Arial"/>
                <w:sz w:val="18"/>
                <w:szCs w:val="18"/>
              </w:rPr>
              <w:t>det</w:t>
            </w:r>
            <w:r w:rsidRPr="0078017F">
              <w:rPr>
                <w:rFonts w:ascii="Arial" w:hAnsi="Arial" w:cs="Arial"/>
                <w:sz w:val="18"/>
                <w:szCs w:val="18"/>
              </w:rPr>
              <w:t xml:space="preserve"> i första hand planera</w:t>
            </w:r>
            <w:r w:rsidR="00E8187D">
              <w:rPr>
                <w:rFonts w:ascii="Arial" w:hAnsi="Arial" w:cs="Arial"/>
                <w:sz w:val="18"/>
                <w:szCs w:val="18"/>
              </w:rPr>
              <w:t>s</w:t>
            </w:r>
            <w:r w:rsidRPr="0078017F">
              <w:rPr>
                <w:rFonts w:ascii="Arial" w:hAnsi="Arial" w:cs="Arial"/>
                <w:sz w:val="18"/>
                <w:szCs w:val="18"/>
              </w:rPr>
              <w:t xml:space="preserve"> så att håltagning i det lufttätande skiktet/materialet undviks. Alternativt upprättas mycket noggrann kontroll av att dessa tätas helt lufttätt.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B756E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7B756E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7B756E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7B756E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B756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7B756E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7B756E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7B756E">
            <w:pPr>
              <w:keepNext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7B756E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A3D7B" w:rsidRPr="00587EC1" w:rsidTr="00FA3D7B">
        <w:trPr>
          <w:cantSplit/>
          <w:trHeight w:val="397"/>
        </w:trPr>
        <w:tc>
          <w:tcPr>
            <w:tcW w:w="191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Anvisningar till byggskedet</w:t>
            </w:r>
          </w:p>
        </w:tc>
        <w:tc>
          <w:tcPr>
            <w:tcW w:w="4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BB0441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8A3495">
              <w:rPr>
                <w:rFonts w:ascii="Arial" w:hAnsi="Arial" w:cs="Arial"/>
                <w:sz w:val="18"/>
                <w:szCs w:val="18"/>
              </w:rPr>
              <w:t xml:space="preserve">Förutom redovisning </w:t>
            </w:r>
            <w:r>
              <w:rPr>
                <w:rFonts w:ascii="Arial" w:hAnsi="Arial" w:cs="Arial"/>
                <w:sz w:val="18"/>
                <w:szCs w:val="18"/>
              </w:rPr>
              <w:t>på ritningar om hur skarvar, an</w:t>
            </w:r>
            <w:r w:rsidRPr="008A3495">
              <w:rPr>
                <w:rFonts w:ascii="Arial" w:hAnsi="Arial" w:cs="Arial"/>
                <w:sz w:val="18"/>
                <w:szCs w:val="18"/>
              </w:rPr>
              <w:t xml:space="preserve">slutningar och genomföringar </w:t>
            </w:r>
            <w:r w:rsidR="004B0F5B">
              <w:rPr>
                <w:rFonts w:ascii="Arial" w:hAnsi="Arial" w:cs="Arial"/>
                <w:sz w:val="18"/>
                <w:szCs w:val="18"/>
              </w:rPr>
              <w:t>ska</w:t>
            </w:r>
            <w:r w:rsidRPr="008A3495">
              <w:rPr>
                <w:rFonts w:ascii="Arial" w:hAnsi="Arial" w:cs="Arial"/>
                <w:sz w:val="18"/>
                <w:szCs w:val="18"/>
              </w:rPr>
              <w:t xml:space="preserve"> utföras samlas information om kritiska ar</w:t>
            </w:r>
            <w:r>
              <w:rPr>
                <w:rFonts w:ascii="Arial" w:hAnsi="Arial" w:cs="Arial"/>
                <w:sz w:val="18"/>
                <w:szCs w:val="18"/>
              </w:rPr>
              <w:t>betsmoment som överläm</w:t>
            </w:r>
            <w:r w:rsidRPr="008A3495">
              <w:rPr>
                <w:rFonts w:ascii="Arial" w:hAnsi="Arial" w:cs="Arial"/>
                <w:sz w:val="18"/>
                <w:szCs w:val="18"/>
              </w:rPr>
              <w:t>nas/diskuteras med byggentreprenören. Det kan exempelvis handla om ordningsföljd för montering av byggnadskomponenter och material, rengöring av underlaget före fogning, tejpning osv</w:t>
            </w:r>
          </w:p>
          <w:p w:rsidR="00FA3D7B" w:rsidRPr="00E87879" w:rsidRDefault="00FA3D7B" w:rsidP="008A3495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87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  <w:szCs w:val="18"/>
              </w:rPr>
            </w:r>
            <w:r w:rsidR="004B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  <w:szCs w:val="18"/>
              </w:rPr>
              <w:tab/>
            </w:r>
            <w:r w:rsidRPr="008A3495">
              <w:rPr>
                <w:rFonts w:ascii="Arial" w:hAnsi="Arial" w:cs="Arial"/>
                <w:sz w:val="18"/>
                <w:szCs w:val="18"/>
              </w:rPr>
              <w:t>Planera för en tidig täthetsprovning/läckagesökning, eventuellt i en begränsad del av byggnaden (t ex i en lägenhet/brandcell som färdigställs tidigt).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FA3D7B" w:rsidRPr="00E87879" w:rsidRDefault="00FA3D7B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FA3D7B" w:rsidRPr="00587EC1" w:rsidRDefault="00FA3D7B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587EC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EC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87EC1">
              <w:rPr>
                <w:rFonts w:ascii="Arial" w:hAnsi="Arial" w:cs="Arial"/>
                <w:sz w:val="20"/>
                <w:szCs w:val="16"/>
              </w:rPr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87EC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587EC1" w:rsidRDefault="00FA3D7B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E87879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87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B0F5B">
              <w:rPr>
                <w:rFonts w:ascii="Arial" w:hAnsi="Arial" w:cs="Arial"/>
                <w:sz w:val="18"/>
              </w:rPr>
            </w:r>
            <w:r w:rsidR="004B0F5B">
              <w:rPr>
                <w:rFonts w:ascii="Arial" w:hAnsi="Arial" w:cs="Arial"/>
                <w:sz w:val="18"/>
              </w:rPr>
              <w:fldChar w:fldCharType="separate"/>
            </w:r>
            <w:r w:rsidRPr="00E87879">
              <w:rPr>
                <w:rFonts w:ascii="Arial" w:hAnsi="Arial" w:cs="Arial"/>
                <w:sz w:val="18"/>
              </w:rPr>
              <w:fldChar w:fldCharType="end"/>
            </w:r>
            <w:r w:rsidRPr="00E87879">
              <w:rPr>
                <w:rFonts w:ascii="Arial" w:hAnsi="Arial" w:cs="Arial"/>
                <w:sz w:val="18"/>
              </w:rPr>
              <w:tab/>
            </w:r>
            <w:r w:rsidRPr="00587EC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FA3D7B" w:rsidRPr="00587EC1" w:rsidTr="00FA3D7B">
        <w:trPr>
          <w:cantSplit/>
          <w:trHeight w:val="680"/>
        </w:trPr>
        <w:tc>
          <w:tcPr>
            <w:tcW w:w="191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E87879" w:rsidRDefault="00FA3D7B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3D7B" w:rsidRPr="00587EC1" w:rsidRDefault="00FA3D7B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FA3D7B" w:rsidRPr="00E87879" w:rsidRDefault="00FA3D7B" w:rsidP="00C260EF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E87879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FA3D7B" w:rsidRPr="00E87879" w:rsidRDefault="00FA3D7B" w:rsidP="00C260EF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E878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78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87879">
              <w:rPr>
                <w:rFonts w:ascii="Arial" w:hAnsi="Arial" w:cs="Arial"/>
                <w:sz w:val="18"/>
                <w:szCs w:val="16"/>
              </w:rPr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878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A64F1E" w:rsidRDefault="00A64F1E" w:rsidP="00FA3D7B">
      <w:pPr>
        <w:rPr>
          <w:rFonts w:ascii="Arial" w:hAnsi="Arial" w:cs="Arial"/>
        </w:rPr>
      </w:pPr>
    </w:p>
    <w:sectPr w:rsidR="00A64F1E" w:rsidSect="00DD783E">
      <w:headerReference w:type="even" r:id="rId9"/>
      <w:headerReference w:type="default" r:id="rId10"/>
      <w:footerReference w:type="default" r:id="rId11"/>
      <w:pgSz w:w="16838" w:h="11906" w:orient="landscape"/>
      <w:pgMar w:top="1134" w:right="964" w:bottom="113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44" w:rsidRDefault="00535944">
      <w:r>
        <w:separator/>
      </w:r>
    </w:p>
  </w:endnote>
  <w:endnote w:type="continuationSeparator" w:id="0">
    <w:p w:rsidR="00535944" w:rsidRDefault="005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44" w:rsidRPr="00812C63" w:rsidRDefault="00FA3D7B" w:rsidP="007B756E">
    <w:pPr>
      <w:pStyle w:val="Sidfot"/>
      <w:ind w:right="360"/>
      <w:rPr>
        <w:rFonts w:ascii="Arial Narrow" w:hAnsi="Arial Narrow"/>
        <w:sz w:val="16"/>
        <w:szCs w:val="16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8345141</wp:posOffset>
          </wp:positionH>
          <wp:positionV relativeFrom="paragraph">
            <wp:posOffset>-200854</wp:posOffset>
          </wp:positionV>
          <wp:extent cx="1226739" cy="508883"/>
          <wp:effectExtent l="0" t="0" r="0" b="5715"/>
          <wp:wrapNone/>
          <wp:docPr id="2" name="Bildobjekt 2" descr="\\sp.se\hs\HSi\FoI\Projekt - länkar\Äldre projektmappar från ETi\P907052 ByggaL\gamla dokument\backup 23 nov\ByggaL\ByggaL symbBlåf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.se\hs\HSi\FoI\Projekt - länkar\Äldre projektmappar från ETi\P907052 ByggaL\gamla dokument\backup 23 nov\ByggaL\ByggaL symbBlåfet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105" cy="50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C63">
      <w:rPr>
        <w:rFonts w:ascii="Arial Narrow" w:hAnsi="Arial Narrow"/>
        <w:sz w:val="16"/>
        <w:szCs w:val="16"/>
        <w:lang w:val="sv-SE"/>
      </w:rPr>
      <w:t>Branschstandard ByggaL</w:t>
    </w:r>
  </w:p>
  <w:p w:rsidR="00535944" w:rsidRPr="00093F23" w:rsidRDefault="00812C63" w:rsidP="00690CB9">
    <w:pPr>
      <w:pStyle w:val="Sidfot"/>
      <w:ind w:right="360"/>
      <w:rPr>
        <w:rFonts w:ascii="Arial Narrow" w:hAnsi="Arial Narrow"/>
        <w:sz w:val="16"/>
        <w:szCs w:val="16"/>
        <w:lang w:val="sv-SE"/>
      </w:rPr>
    </w:pPr>
    <w:r>
      <w:rPr>
        <w:rFonts w:ascii="Arial Narrow" w:hAnsi="Arial Narrow"/>
        <w:sz w:val="16"/>
        <w:szCs w:val="16"/>
        <w:lang w:val="sv-SE"/>
      </w:rPr>
      <w:t>Bilaga 4 version</w:t>
    </w:r>
    <w:r w:rsidR="00535944">
      <w:rPr>
        <w:rFonts w:ascii="Arial Narrow" w:hAnsi="Arial Narrow"/>
        <w:sz w:val="16"/>
        <w:szCs w:val="16"/>
      </w:rPr>
      <w:t xml:space="preserve"> 201</w:t>
    </w:r>
    <w:r>
      <w:rPr>
        <w:rFonts w:ascii="Arial Narrow" w:hAnsi="Arial Narrow"/>
        <w:sz w:val="16"/>
        <w:szCs w:val="16"/>
        <w:lang w:val="sv-SE"/>
      </w:rPr>
      <w:t>7</w:t>
    </w:r>
    <w:r w:rsidR="00535944">
      <w:rPr>
        <w:rFonts w:ascii="Arial Narrow" w:hAnsi="Arial Narrow"/>
        <w:sz w:val="16"/>
        <w:szCs w:val="16"/>
      </w:rPr>
      <w:t>-0</w:t>
    </w:r>
    <w:r w:rsidR="00093F23">
      <w:rPr>
        <w:rFonts w:ascii="Arial Narrow" w:hAnsi="Arial Narrow"/>
        <w:sz w:val="16"/>
        <w:szCs w:val="16"/>
        <w:lang w:val="sv-SE"/>
      </w:rPr>
      <w:t>7</w:t>
    </w:r>
    <w:r w:rsidR="00535944">
      <w:rPr>
        <w:rFonts w:ascii="Arial Narrow" w:hAnsi="Arial Narrow"/>
        <w:sz w:val="16"/>
        <w:szCs w:val="16"/>
      </w:rPr>
      <w:t>-</w:t>
    </w:r>
    <w:r w:rsidR="00093F23">
      <w:rPr>
        <w:rFonts w:ascii="Arial Narrow" w:hAnsi="Arial Narrow"/>
        <w:sz w:val="16"/>
        <w:szCs w:val="16"/>
        <w:lang w:val="sv-SE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44" w:rsidRDefault="00535944">
      <w:r>
        <w:separator/>
      </w:r>
    </w:p>
  </w:footnote>
  <w:footnote w:type="continuationSeparator" w:id="0">
    <w:p w:rsidR="00535944" w:rsidRDefault="0053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44" w:rsidRDefault="00535944" w:rsidP="00690C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35944" w:rsidRDefault="00535944" w:rsidP="00690CB9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36" w:rsidRDefault="00535944" w:rsidP="00DD783E">
    <w:pPr>
      <w:pStyle w:val="Sidhuvud"/>
      <w:tabs>
        <w:tab w:val="clear" w:pos="4536"/>
        <w:tab w:val="clear" w:pos="9072"/>
        <w:tab w:val="right" w:pos="14742"/>
      </w:tabs>
      <w:ind w:right="283"/>
      <w:rPr>
        <w:rFonts w:ascii="Arial" w:hAnsi="Arial" w:cs="Arial"/>
        <w:b/>
        <w:sz w:val="32"/>
        <w:lang w:val="sv-SE"/>
      </w:rPr>
    </w:pPr>
    <w:r w:rsidRPr="00465799">
      <w:rPr>
        <w:rFonts w:ascii="Arial" w:hAnsi="Arial" w:cs="Arial"/>
        <w:b/>
        <w:sz w:val="32"/>
      </w:rPr>
      <w:t>Checklista för projektering</w:t>
    </w:r>
    <w:r w:rsidR="00054985">
      <w:rPr>
        <w:rFonts w:ascii="Arial" w:hAnsi="Arial" w:cs="Arial"/>
        <w:b/>
        <w:sz w:val="32"/>
        <w:lang w:val="sv-SE"/>
      </w:rPr>
      <w:t xml:space="preserve"> - Lu</w:t>
    </w:r>
    <w:r w:rsidR="00805836">
      <w:rPr>
        <w:rFonts w:ascii="Arial" w:hAnsi="Arial" w:cs="Arial"/>
        <w:b/>
        <w:sz w:val="32"/>
        <w:lang w:val="sv-SE"/>
      </w:rPr>
      <w:t>fttät</w:t>
    </w:r>
    <w:r w:rsidR="00FC2F5E">
      <w:rPr>
        <w:rFonts w:ascii="Arial" w:hAnsi="Arial" w:cs="Arial"/>
        <w:b/>
        <w:sz w:val="32"/>
        <w:lang w:val="sv-SE"/>
      </w:rPr>
      <w:t>het</w:t>
    </w:r>
  </w:p>
  <w:p w:rsidR="00535944" w:rsidRPr="00C0484D" w:rsidRDefault="00805836" w:rsidP="00DD783E">
    <w:pPr>
      <w:pStyle w:val="Sidhuvud"/>
      <w:tabs>
        <w:tab w:val="clear" w:pos="4536"/>
        <w:tab w:val="clear" w:pos="9072"/>
        <w:tab w:val="right" w:pos="14742"/>
      </w:tabs>
      <w:ind w:right="283"/>
      <w:rPr>
        <w:rFonts w:ascii="Arial" w:hAnsi="Arial" w:cs="Arial"/>
        <w:sz w:val="20"/>
      </w:rPr>
    </w:pPr>
    <w:r w:rsidRPr="000D0FD6">
      <w:rPr>
        <w:rFonts w:ascii="Arial" w:hAnsi="Arial" w:cs="Arial"/>
        <w:sz w:val="22"/>
        <w:szCs w:val="22"/>
        <w:lang w:val="sv-SE"/>
      </w:rPr>
      <w:t>(förslag på kontrollpunkter)</w:t>
    </w:r>
    <w:r w:rsidR="00535944" w:rsidRPr="00465799">
      <w:rPr>
        <w:rFonts w:ascii="Arial" w:hAnsi="Arial" w:cs="Arial"/>
        <w:sz w:val="32"/>
      </w:rPr>
      <w:t xml:space="preserve"> </w:t>
    </w:r>
    <w:r w:rsidR="00535944">
      <w:rPr>
        <w:rFonts w:ascii="Arial" w:hAnsi="Arial" w:cs="Arial"/>
      </w:rPr>
      <w:tab/>
    </w:r>
    <w:r w:rsidR="00535944" w:rsidRPr="00C0484D">
      <w:rPr>
        <w:rFonts w:ascii="Arial" w:hAnsi="Arial" w:cs="Arial"/>
        <w:sz w:val="18"/>
      </w:rPr>
      <w:fldChar w:fldCharType="begin"/>
    </w:r>
    <w:r w:rsidR="00535944" w:rsidRPr="00C0484D">
      <w:rPr>
        <w:rFonts w:ascii="Arial" w:hAnsi="Arial" w:cs="Arial"/>
        <w:sz w:val="18"/>
      </w:rPr>
      <w:instrText xml:space="preserve"> PAGE  \* Arabic </w:instrText>
    </w:r>
    <w:r w:rsidR="00535944" w:rsidRPr="00C0484D">
      <w:rPr>
        <w:rFonts w:ascii="Arial" w:hAnsi="Arial" w:cs="Arial"/>
        <w:sz w:val="18"/>
      </w:rPr>
      <w:fldChar w:fldCharType="separate"/>
    </w:r>
    <w:r w:rsidR="004B0F5B">
      <w:rPr>
        <w:rFonts w:ascii="Arial" w:hAnsi="Arial" w:cs="Arial"/>
        <w:noProof/>
        <w:sz w:val="18"/>
      </w:rPr>
      <w:t>1</w:t>
    </w:r>
    <w:r w:rsidR="00535944" w:rsidRPr="00C0484D">
      <w:rPr>
        <w:rFonts w:ascii="Arial" w:hAnsi="Arial" w:cs="Arial"/>
        <w:sz w:val="18"/>
      </w:rPr>
      <w:fldChar w:fldCharType="end"/>
    </w:r>
    <w:r w:rsidR="00535944" w:rsidRPr="00C0484D">
      <w:rPr>
        <w:rFonts w:ascii="Arial" w:hAnsi="Arial" w:cs="Arial"/>
        <w:sz w:val="18"/>
      </w:rPr>
      <w:t xml:space="preserve"> (</w:t>
    </w:r>
    <w:r w:rsidR="00535944" w:rsidRPr="00C0484D">
      <w:rPr>
        <w:rFonts w:ascii="Arial" w:hAnsi="Arial" w:cs="Arial"/>
        <w:sz w:val="18"/>
      </w:rPr>
      <w:fldChar w:fldCharType="begin"/>
    </w:r>
    <w:r w:rsidR="00535944" w:rsidRPr="00C0484D">
      <w:rPr>
        <w:rFonts w:ascii="Arial" w:hAnsi="Arial" w:cs="Arial"/>
        <w:sz w:val="18"/>
      </w:rPr>
      <w:instrText xml:space="preserve"> SECTIONPAGES   \* MERGEFORMAT </w:instrText>
    </w:r>
    <w:r w:rsidR="00535944" w:rsidRPr="00C0484D">
      <w:rPr>
        <w:rFonts w:ascii="Arial" w:hAnsi="Arial" w:cs="Arial"/>
        <w:sz w:val="18"/>
      </w:rPr>
      <w:fldChar w:fldCharType="separate"/>
    </w:r>
    <w:r w:rsidR="004B0F5B">
      <w:rPr>
        <w:rFonts w:ascii="Arial" w:hAnsi="Arial" w:cs="Arial"/>
        <w:noProof/>
        <w:sz w:val="18"/>
      </w:rPr>
      <w:t>4</w:t>
    </w:r>
    <w:r w:rsidR="00535944" w:rsidRPr="00C0484D">
      <w:rPr>
        <w:rFonts w:ascii="Arial" w:hAnsi="Arial" w:cs="Arial"/>
        <w:sz w:val="18"/>
      </w:rPr>
      <w:fldChar w:fldCharType="end"/>
    </w:r>
    <w:r w:rsidR="00535944" w:rsidRPr="00C0484D">
      <w:rPr>
        <w:rFonts w:ascii="Arial" w:hAnsi="Arial" w:cs="Arial"/>
        <w:sz w:val="18"/>
      </w:rPr>
      <w:t>)</w:t>
    </w:r>
  </w:p>
  <w:p w:rsidR="00535944" w:rsidRDefault="00535944" w:rsidP="00DD783E">
    <w:pPr>
      <w:pStyle w:val="Sidhuvud"/>
      <w:tabs>
        <w:tab w:val="clear" w:pos="4536"/>
        <w:tab w:val="clear" w:pos="9072"/>
        <w:tab w:val="right" w:pos="14742"/>
      </w:tabs>
      <w:ind w:right="283"/>
      <w:rPr>
        <w:rFonts w:ascii="Arial" w:hAnsi="Arial" w:cs="Arial"/>
      </w:rPr>
    </w:pPr>
  </w:p>
  <w:p w:rsidR="00535944" w:rsidRDefault="00535944" w:rsidP="007B756E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  <w:t>Godkänd av:</w:t>
    </w:r>
  </w:p>
  <w:p w:rsidR="00535944" w:rsidRDefault="00535944" w:rsidP="007B756E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Ansvarig:</w:t>
    </w:r>
    <w:r>
      <w:rPr>
        <w:rFonts w:ascii="Arial" w:hAnsi="Arial" w:cs="Arial"/>
        <w:sz w:val="20"/>
        <w:szCs w:val="20"/>
      </w:rPr>
      <w:tab/>
    </w:r>
  </w:p>
  <w:p w:rsidR="00535944" w:rsidRDefault="00535944" w:rsidP="007B756E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Senast ändrad:</w:t>
    </w:r>
    <w:r>
      <w:rPr>
        <w:rFonts w:ascii="Arial" w:hAnsi="Arial" w:cs="Arial"/>
        <w:sz w:val="20"/>
        <w:szCs w:val="20"/>
      </w:rPr>
      <w:tab/>
      <w:t>…………………………………………………</w:t>
    </w:r>
  </w:p>
  <w:p w:rsidR="00535944" w:rsidRDefault="00535944" w:rsidP="007B756E">
    <w:pPr>
      <w:pStyle w:val="Sidhuvud"/>
      <w:tabs>
        <w:tab w:val="clear" w:pos="4536"/>
        <w:tab w:val="clear" w:pos="9072"/>
        <w:tab w:val="left" w:pos="10773"/>
        <w:tab w:val="left" w:pos="12474"/>
        <w:tab w:val="right" w:pos="14601"/>
      </w:tabs>
      <w:ind w:right="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6"/>
        <w:szCs w:val="16"/>
      </w:rPr>
      <w:t>Datum</w:t>
    </w:r>
    <w:r>
      <w:rPr>
        <w:rFonts w:ascii="Arial" w:hAnsi="Arial" w:cs="Arial"/>
        <w:sz w:val="16"/>
        <w:szCs w:val="16"/>
      </w:rPr>
      <w:tab/>
      <w:t>Signatur</w:t>
    </w:r>
  </w:p>
  <w:p w:rsidR="00535944" w:rsidRPr="00E87879" w:rsidRDefault="00535944" w:rsidP="00DD783E">
    <w:pPr>
      <w:pStyle w:val="Sidhuvud"/>
      <w:tabs>
        <w:tab w:val="clear" w:pos="4536"/>
        <w:tab w:val="clear" w:pos="9072"/>
        <w:tab w:val="right" w:pos="14742"/>
      </w:tabs>
      <w:ind w:right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6C0"/>
    <w:multiLevelType w:val="hybridMultilevel"/>
    <w:tmpl w:val="8B747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22C7"/>
    <w:multiLevelType w:val="hybridMultilevel"/>
    <w:tmpl w:val="B67AF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51ED"/>
    <w:multiLevelType w:val="hybridMultilevel"/>
    <w:tmpl w:val="AB32258E"/>
    <w:lvl w:ilvl="0" w:tplc="041D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3DBC120C"/>
    <w:multiLevelType w:val="hybridMultilevel"/>
    <w:tmpl w:val="06265B72"/>
    <w:lvl w:ilvl="0" w:tplc="18C8FA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C61BC"/>
    <w:multiLevelType w:val="hybridMultilevel"/>
    <w:tmpl w:val="43883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07D8C"/>
    <w:multiLevelType w:val="hybridMultilevel"/>
    <w:tmpl w:val="68FE5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72E8A"/>
    <w:multiLevelType w:val="hybridMultilevel"/>
    <w:tmpl w:val="1CDA3276"/>
    <w:lvl w:ilvl="0" w:tplc="041D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591A024E"/>
    <w:multiLevelType w:val="hybridMultilevel"/>
    <w:tmpl w:val="4E520BAC"/>
    <w:lvl w:ilvl="0" w:tplc="0D909CA0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6613A"/>
    <w:multiLevelType w:val="hybridMultilevel"/>
    <w:tmpl w:val="0EAAF730"/>
    <w:lvl w:ilvl="0" w:tplc="18C8FA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70A99"/>
    <w:multiLevelType w:val="hybridMultilevel"/>
    <w:tmpl w:val="5FD4BBC0"/>
    <w:lvl w:ilvl="0" w:tplc="18C8FA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BE0DF9"/>
    <w:multiLevelType w:val="hybridMultilevel"/>
    <w:tmpl w:val="8B246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92212"/>
    <w:multiLevelType w:val="hybridMultilevel"/>
    <w:tmpl w:val="69044ABA"/>
    <w:lvl w:ilvl="0" w:tplc="18C8FA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44033">
      <o:colormru v:ext="edit" colors="#f90,#ffb6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F"/>
    <w:rsid w:val="000068D9"/>
    <w:rsid w:val="000306CE"/>
    <w:rsid w:val="00032671"/>
    <w:rsid w:val="000348B4"/>
    <w:rsid w:val="00046CFA"/>
    <w:rsid w:val="00050754"/>
    <w:rsid w:val="00054985"/>
    <w:rsid w:val="00055730"/>
    <w:rsid w:val="0006199C"/>
    <w:rsid w:val="00061A49"/>
    <w:rsid w:val="00071710"/>
    <w:rsid w:val="000721B6"/>
    <w:rsid w:val="00086800"/>
    <w:rsid w:val="000903E6"/>
    <w:rsid w:val="00093F23"/>
    <w:rsid w:val="00094B9E"/>
    <w:rsid w:val="000A2628"/>
    <w:rsid w:val="000B7403"/>
    <w:rsid w:val="000B760D"/>
    <w:rsid w:val="000C1EA8"/>
    <w:rsid w:val="000D0FD6"/>
    <w:rsid w:val="000D27DB"/>
    <w:rsid w:val="000D462F"/>
    <w:rsid w:val="000D60B5"/>
    <w:rsid w:val="000F42D8"/>
    <w:rsid w:val="00102386"/>
    <w:rsid w:val="00113AC1"/>
    <w:rsid w:val="0012115B"/>
    <w:rsid w:val="00140DD7"/>
    <w:rsid w:val="00162DE0"/>
    <w:rsid w:val="00176746"/>
    <w:rsid w:val="00182898"/>
    <w:rsid w:val="001836BF"/>
    <w:rsid w:val="00194908"/>
    <w:rsid w:val="001A135B"/>
    <w:rsid w:val="001B670F"/>
    <w:rsid w:val="001D6B71"/>
    <w:rsid w:val="001E553F"/>
    <w:rsid w:val="002107C6"/>
    <w:rsid w:val="00216D26"/>
    <w:rsid w:val="00244482"/>
    <w:rsid w:val="00250065"/>
    <w:rsid w:val="00266430"/>
    <w:rsid w:val="002674C4"/>
    <w:rsid w:val="00275524"/>
    <w:rsid w:val="00282713"/>
    <w:rsid w:val="002A4BCA"/>
    <w:rsid w:val="002B3FAA"/>
    <w:rsid w:val="002C6665"/>
    <w:rsid w:val="002E4BC3"/>
    <w:rsid w:val="002F25BC"/>
    <w:rsid w:val="00300A09"/>
    <w:rsid w:val="00311554"/>
    <w:rsid w:val="003238DB"/>
    <w:rsid w:val="00325B1F"/>
    <w:rsid w:val="0032650A"/>
    <w:rsid w:val="00361FDF"/>
    <w:rsid w:val="00382116"/>
    <w:rsid w:val="00385752"/>
    <w:rsid w:val="00387422"/>
    <w:rsid w:val="00395A03"/>
    <w:rsid w:val="003B54B3"/>
    <w:rsid w:val="003B7301"/>
    <w:rsid w:val="003B7DC8"/>
    <w:rsid w:val="003C1016"/>
    <w:rsid w:val="003D78E8"/>
    <w:rsid w:val="004003B8"/>
    <w:rsid w:val="00402130"/>
    <w:rsid w:val="004054B0"/>
    <w:rsid w:val="00430D43"/>
    <w:rsid w:val="004539F8"/>
    <w:rsid w:val="004556C4"/>
    <w:rsid w:val="00465799"/>
    <w:rsid w:val="00467EC5"/>
    <w:rsid w:val="0047498D"/>
    <w:rsid w:val="00476318"/>
    <w:rsid w:val="004853E3"/>
    <w:rsid w:val="00485A70"/>
    <w:rsid w:val="004B005F"/>
    <w:rsid w:val="004B0F5B"/>
    <w:rsid w:val="004B33DA"/>
    <w:rsid w:val="004C23CB"/>
    <w:rsid w:val="004D04CE"/>
    <w:rsid w:val="004E7BA6"/>
    <w:rsid w:val="004F0EFF"/>
    <w:rsid w:val="004F2CFB"/>
    <w:rsid w:val="00503DA9"/>
    <w:rsid w:val="0050400D"/>
    <w:rsid w:val="00535944"/>
    <w:rsid w:val="00561B9D"/>
    <w:rsid w:val="00567A97"/>
    <w:rsid w:val="00570AF8"/>
    <w:rsid w:val="00571F67"/>
    <w:rsid w:val="00583773"/>
    <w:rsid w:val="0058534E"/>
    <w:rsid w:val="00587EC1"/>
    <w:rsid w:val="00596821"/>
    <w:rsid w:val="005B3489"/>
    <w:rsid w:val="005E0C84"/>
    <w:rsid w:val="005E2601"/>
    <w:rsid w:val="005E3FF2"/>
    <w:rsid w:val="005E433F"/>
    <w:rsid w:val="005E7ABF"/>
    <w:rsid w:val="005F5160"/>
    <w:rsid w:val="00600241"/>
    <w:rsid w:val="006410A5"/>
    <w:rsid w:val="00655459"/>
    <w:rsid w:val="0066575B"/>
    <w:rsid w:val="00665827"/>
    <w:rsid w:val="00684A5F"/>
    <w:rsid w:val="00690CB9"/>
    <w:rsid w:val="00696C29"/>
    <w:rsid w:val="006A0A6E"/>
    <w:rsid w:val="006C0D72"/>
    <w:rsid w:val="006C2DC4"/>
    <w:rsid w:val="006C4E35"/>
    <w:rsid w:val="006D4692"/>
    <w:rsid w:val="006F2543"/>
    <w:rsid w:val="006F5F9A"/>
    <w:rsid w:val="00711DEF"/>
    <w:rsid w:val="00744844"/>
    <w:rsid w:val="007518F8"/>
    <w:rsid w:val="0078017F"/>
    <w:rsid w:val="007805D8"/>
    <w:rsid w:val="007848F7"/>
    <w:rsid w:val="007860EE"/>
    <w:rsid w:val="007947DA"/>
    <w:rsid w:val="00794DDF"/>
    <w:rsid w:val="007952A7"/>
    <w:rsid w:val="007A5339"/>
    <w:rsid w:val="007B756E"/>
    <w:rsid w:val="007C2EC1"/>
    <w:rsid w:val="007C2EF5"/>
    <w:rsid w:val="007C51EA"/>
    <w:rsid w:val="007E2325"/>
    <w:rsid w:val="007E2470"/>
    <w:rsid w:val="007F6A5D"/>
    <w:rsid w:val="00802522"/>
    <w:rsid w:val="00805836"/>
    <w:rsid w:val="00806411"/>
    <w:rsid w:val="00812C63"/>
    <w:rsid w:val="008163EB"/>
    <w:rsid w:val="00816EE1"/>
    <w:rsid w:val="00845D14"/>
    <w:rsid w:val="008527E3"/>
    <w:rsid w:val="008557A9"/>
    <w:rsid w:val="00870E79"/>
    <w:rsid w:val="00873D23"/>
    <w:rsid w:val="008751B2"/>
    <w:rsid w:val="00875345"/>
    <w:rsid w:val="00881C3D"/>
    <w:rsid w:val="008830B1"/>
    <w:rsid w:val="00883745"/>
    <w:rsid w:val="00884801"/>
    <w:rsid w:val="008A3495"/>
    <w:rsid w:val="008A5B14"/>
    <w:rsid w:val="008C688D"/>
    <w:rsid w:val="008E2232"/>
    <w:rsid w:val="008E451C"/>
    <w:rsid w:val="008E4A08"/>
    <w:rsid w:val="008F057F"/>
    <w:rsid w:val="00914836"/>
    <w:rsid w:val="00926F7E"/>
    <w:rsid w:val="00946AF7"/>
    <w:rsid w:val="00965657"/>
    <w:rsid w:val="00973216"/>
    <w:rsid w:val="009840C0"/>
    <w:rsid w:val="009A3843"/>
    <w:rsid w:val="009B65B3"/>
    <w:rsid w:val="009C2A9D"/>
    <w:rsid w:val="009C6E25"/>
    <w:rsid w:val="009E3BC5"/>
    <w:rsid w:val="009E7564"/>
    <w:rsid w:val="00A11335"/>
    <w:rsid w:val="00A14AF2"/>
    <w:rsid w:val="00A342C9"/>
    <w:rsid w:val="00A372CD"/>
    <w:rsid w:val="00A4795E"/>
    <w:rsid w:val="00A47F91"/>
    <w:rsid w:val="00A55A25"/>
    <w:rsid w:val="00A579DA"/>
    <w:rsid w:val="00A64F1E"/>
    <w:rsid w:val="00A6617D"/>
    <w:rsid w:val="00A6771E"/>
    <w:rsid w:val="00A9511C"/>
    <w:rsid w:val="00AA7C9C"/>
    <w:rsid w:val="00AB06DC"/>
    <w:rsid w:val="00AB1F43"/>
    <w:rsid w:val="00AC3BA9"/>
    <w:rsid w:val="00AD71A0"/>
    <w:rsid w:val="00AE6B02"/>
    <w:rsid w:val="00B1203D"/>
    <w:rsid w:val="00B1471B"/>
    <w:rsid w:val="00B336A5"/>
    <w:rsid w:val="00B44EB5"/>
    <w:rsid w:val="00B473BD"/>
    <w:rsid w:val="00B85AD1"/>
    <w:rsid w:val="00B86278"/>
    <w:rsid w:val="00BB0396"/>
    <w:rsid w:val="00BB0441"/>
    <w:rsid w:val="00BB49C1"/>
    <w:rsid w:val="00BD1FE1"/>
    <w:rsid w:val="00BE4A2A"/>
    <w:rsid w:val="00BE5E9D"/>
    <w:rsid w:val="00BF24B8"/>
    <w:rsid w:val="00C0484D"/>
    <w:rsid w:val="00C12172"/>
    <w:rsid w:val="00C20E68"/>
    <w:rsid w:val="00C260EF"/>
    <w:rsid w:val="00C3683E"/>
    <w:rsid w:val="00C56182"/>
    <w:rsid w:val="00C574E3"/>
    <w:rsid w:val="00C57ED7"/>
    <w:rsid w:val="00C6196B"/>
    <w:rsid w:val="00C72A1E"/>
    <w:rsid w:val="00C75ACF"/>
    <w:rsid w:val="00C86C12"/>
    <w:rsid w:val="00C90373"/>
    <w:rsid w:val="00CA2D87"/>
    <w:rsid w:val="00CC0949"/>
    <w:rsid w:val="00CC52A2"/>
    <w:rsid w:val="00CC75B0"/>
    <w:rsid w:val="00CD76CA"/>
    <w:rsid w:val="00CF2F69"/>
    <w:rsid w:val="00CF30DC"/>
    <w:rsid w:val="00D12293"/>
    <w:rsid w:val="00D155AE"/>
    <w:rsid w:val="00D25588"/>
    <w:rsid w:val="00D331BC"/>
    <w:rsid w:val="00D42142"/>
    <w:rsid w:val="00DA60E0"/>
    <w:rsid w:val="00DB0108"/>
    <w:rsid w:val="00DB407A"/>
    <w:rsid w:val="00DC07E1"/>
    <w:rsid w:val="00DD783E"/>
    <w:rsid w:val="00DE2279"/>
    <w:rsid w:val="00DE3C64"/>
    <w:rsid w:val="00E1344A"/>
    <w:rsid w:val="00E4192E"/>
    <w:rsid w:val="00E45560"/>
    <w:rsid w:val="00E6269A"/>
    <w:rsid w:val="00E76C19"/>
    <w:rsid w:val="00E8187D"/>
    <w:rsid w:val="00E87879"/>
    <w:rsid w:val="00E94B18"/>
    <w:rsid w:val="00E9624F"/>
    <w:rsid w:val="00EB4FB8"/>
    <w:rsid w:val="00EC39F4"/>
    <w:rsid w:val="00ED7816"/>
    <w:rsid w:val="00EE675E"/>
    <w:rsid w:val="00F043D5"/>
    <w:rsid w:val="00F315FE"/>
    <w:rsid w:val="00F31F80"/>
    <w:rsid w:val="00F32676"/>
    <w:rsid w:val="00F33F9F"/>
    <w:rsid w:val="00F417DF"/>
    <w:rsid w:val="00F52576"/>
    <w:rsid w:val="00F52B39"/>
    <w:rsid w:val="00F56315"/>
    <w:rsid w:val="00F7319C"/>
    <w:rsid w:val="00F74E3B"/>
    <w:rsid w:val="00F804B6"/>
    <w:rsid w:val="00F9075B"/>
    <w:rsid w:val="00FA3D7B"/>
    <w:rsid w:val="00FA5723"/>
    <w:rsid w:val="00FB04DE"/>
    <w:rsid w:val="00FB1C34"/>
    <w:rsid w:val="00FC2F5E"/>
    <w:rsid w:val="00FC3A4A"/>
    <w:rsid w:val="00FC6A94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f90,#ffb6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655459"/>
    <w:pPr>
      <w:ind w:left="720"/>
    </w:pPr>
    <w:rPr>
      <w:rFonts w:ascii="Calibri" w:eastAsiaTheme="minorHAnsi" w:hAnsi="Calibri"/>
      <w:sz w:val="22"/>
      <w:szCs w:val="2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655459"/>
    <w:pPr>
      <w:ind w:left="720"/>
    </w:pPr>
    <w:rPr>
      <w:rFonts w:ascii="Calibri" w:eastAsiaTheme="minorHAnsi" w:hAnsi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709B-1D27-49B8-9D81-0F3B14D5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Typ av konstruktion</vt:lpstr>
      <vt:lpstr>Typ av konstruktion</vt:lpstr>
    </vt:vector>
  </TitlesOfParts>
  <Company>SP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konstruktion</dc:title>
  <dc:creator>Kristina Mjörnell</dc:creator>
  <cp:lastModifiedBy>Carina Johansson</cp:lastModifiedBy>
  <cp:revision>3</cp:revision>
  <cp:lastPrinted>2013-03-03T11:43:00Z</cp:lastPrinted>
  <dcterms:created xsi:type="dcterms:W3CDTF">2017-07-04T07:19:00Z</dcterms:created>
  <dcterms:modified xsi:type="dcterms:W3CDTF">2017-07-04T15:36:00Z</dcterms:modified>
</cp:coreProperties>
</file>